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AC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كان كلامنا المتقدم في التنبيه الأول بعد القول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بتمامية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الدليل الدال على البراءة في الشبهات الحكمية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التحريمية،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وكان خلاصة التنبيه الأول أن الأدلة في روحها تشمل الشبهات الموضوعية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أيضاً،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وليست مختصة بالشبهات الحكمية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التحريمية،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بل قلنا إن بعض الأدلة 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ظهور،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كرواية مسعدة بن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صدقة،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الشبهات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الموضوعية،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ذلك ذكرنا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استثنائين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أحدهما للشيخ والثاني للمحقق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النائيين،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ناقشنا كلا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الاستثنائين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وبينا أن ما أفاده المحقق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النائيني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قدس الله نفسه الزكية غير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وذلك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لتمامية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الأدلة الدالة على جريان البراءة في الموارد والأمثلة التي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أوردها،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ناقشنا الأمثلة واحداً بعد الآخر.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كانت أهم المناقشات هو في صحة جريان البراءة فيما إذا شككنا في حكم ترخيصي يتعلق بالدماء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بالدم،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وقلنا إن المسألة عكس ما قاله المحقق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النائيني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إذا يظهر من خلال التتبع في الأدلة أن الأحكام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اللزومية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هي المتوقفة على إحراز ثبوت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الإسلام،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وليس الحكم الترخيصي هو المعلق على أمر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وجودي،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ذلك أوردنا تفصيلاً في المسألة من ناحية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الروايات،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واستظهرنا في نهاية المطاف أن الروايات يفهم منها أمرين: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الأمر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الدم بغض النظر عن كون صاحبه مسلماً 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حرمة،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والسبب في ذلك ظهور بعض الروايات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الدالة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وناقشنا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ظهورها،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قلنا: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حتى لو لم يظهر من الروايات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إطلاق الأدلة الأخرى الدالة على لزوم الاحتراس والاحتراز والتثبت والاحتياط في الدماء يعطينا أنه لا يجوز لنا إجراء البراءة في الدم.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نعم في الأموال يمكن أن يقال بجريان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وأما في الفروج فالأمر قد يكون مثل الدماء من ناحية الأدلة الدالة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لابدية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التثبت والتحفظ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وقد أوردنا الآية الكريمة وأشرنا إلى مطلب هام يفهم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وهو لزوم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الاحتياط،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كان هذا هو خلاصة لما تقدم لدينا في التنبيه الأول.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أما التنبيه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فهو أن ما ذكرناه من القول بجريان البراءة في الشبهات الحكمية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التحريمية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يتم فيما إذا كان الشك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أما إذا علمنا بالتكليف وكان الشك في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بمعنى أننا أحرزنا التكليف بدليل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معتبر،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وكان الشك في أننا فرغنا من امتثاله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فلا يجوز لنا أن نجري البراءة في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المورد،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لماذا لا يجوز لنا أن نجري البراءة عند الشك في الفراغ من التكليف المحرز الثابت بدليل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معتبر،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السبب في ذلك هو الاعتماد على قاعدة عقلية معتبرة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المقام،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ثبتها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الأصوليون،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بل أوردها كل منهم دون مناقشة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أوردوها إيراد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lastRenderedPageBreak/>
        <w:t>المسلمات،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القاعدة تتردد على الألسن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كثيراً،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خلاصتها أن الاشتغال اليقيني يقتضي الفراغ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أي إذا علمت بتكليف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شككت في أنني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امتثلته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يسوغ لي أن أجري البراءة عن هذا التكليف المشكوك بأنه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امتثل،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والسبب يرجع إلى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القاعدة،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وهي أن العقل حاكم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بلابدية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المقام يشير بشرح مقتضب وموجز لهذه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القاعدة،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إن قول الأصوليين الاشتغال اليقيني يستدعي الفراغ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يريد الأصوليون منه أمرين: 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الأمر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اليقين في الاشتغال بالتكليف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لايراد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اليقين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الوجداني،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وإنما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الدليل المثبت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أعم من أن يكون هذا الدليل يقيناً وجدانياً أو رواية أو أصلاً عملياً معتبراً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كالاستصحاب،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فإذا ثبت لدينا تكليف ما بالعقل بالقطع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بالقين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برواية معتبرة أو بأصل عملي ينجز ذلك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شككنا أن ذلك التكليف الثابت لدينا فرغنا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امتثلناه،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أتينا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يجب علينا أن نتيقن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بامتثاله،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يردف مضيفاً ـ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ـ يقول وقولنا يجب علينا اليقين بامتثاله هنا أيضاً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الأعم من اليقين الوجداني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والتعبدي،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أن اليقين في ثبوت التكليف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الأعم بما يشمل أي منجز من المنجزات المثبتة للتكليف وهي معتبرة في نظر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كذلك أيضاً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إحراز التكليف لا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اليقين الوجداني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فحسب،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بل يشمل اليقين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التعبدي،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إضافة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وتتمة،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الشارع المقدس في بعض الأحايين عندنا يقين تعبدي معتبر لا شبهة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وأخرى ليس لدينا يقين تعبدي لا شبهة فيه إذا صح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التعبير،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وإنما يشوبه شيء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الغموض،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الشارع المقدس نزله تنزيلاً إذا صح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التعبير،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هو احتمال أن نكون قد أحرزنا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فبنظر العقل ما فيه 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العقل ماذا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يقول؟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الاشتغال اليقيني يقتضي فراغاً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يقينياً،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هنا ما عندنا إحراز للفراغ من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غير أنه لدينا دليل معتبر من قبل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نزل هذا الامتثال الاحتمالي بمنزلة الامتثال التفصيلي.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إن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قلت: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كيف يسوغ للشارع أن يحكم بما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يضاد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العقل،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وأحكام العقل غير قابلة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للتخصيص؟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ألم نقل إن الاشتغال اليقيني يستدعي فراغاً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يقينياً؟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كيف هنا ارتضينا بالخروج من التكليف بالامتثال الاحتمالي كما مثلاً في قاعدة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الفراغ،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إذا شككنا في التكليف بعد أن فرغنا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منه،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للشك مثلاً في نسيان جزء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منه،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بعد الفراغ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منه،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بعد أن فرغنا من الصلاة شككنا أننا مثلاً أتينا بثلاث ركعات أو أربع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ركعات،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بعد أن توضأنا شككنا أننا مسحنا على الرجل اليسرى أم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مثلاً بعد الانتهاء من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الوضوء،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هنا الشارع ماذا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يقول؟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يقول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الفراغ،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كل ما فرغت منه </w:t>
      </w:r>
      <w:r w:rsidR="004F3DE9"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فشككت فيه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فامضه،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يعني ابنِ على أنه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تحقق،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صار،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وجد،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بشروطه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وأجزائه،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هذا امتثال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احتمالي،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العقل ماذا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يقول؟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لابد من الفراغ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أجاب الأصوليون عن هذا الإشكال بالإجابة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التالية: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صحيح أن العقل يقول بالفراغ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لكن ماذا يراد بالفراغ </w:t>
      </w:r>
      <w:proofErr w:type="spellStart"/>
      <w:r w:rsidR="004F3DE9">
        <w:rPr>
          <w:rFonts w:asciiTheme="majorBidi" w:hAnsiTheme="majorBidi" w:cstheme="majorBidi" w:hint="cs"/>
          <w:sz w:val="48"/>
          <w:szCs w:val="48"/>
          <w:rtl/>
        </w:rPr>
        <w:t>اليقين؟</w:t>
      </w:r>
      <w:proofErr w:type="spellEnd"/>
      <w:r w:rsidR="004F3DE9">
        <w:rPr>
          <w:rFonts w:asciiTheme="majorBidi" w:hAnsiTheme="majorBidi" w:cstheme="majorBidi" w:hint="cs"/>
          <w:sz w:val="48"/>
          <w:szCs w:val="48"/>
          <w:rtl/>
        </w:rPr>
        <w:t xml:space="preserve"> شرحنا:</w:t>
      </w:r>
    </w:p>
    <w:p w:rsidR="004F3DE9" w:rsidRDefault="004F3DE9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واحد: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اليقين يراد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يشمل اليقين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التعبدي،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وبما أن الشارع نحتمل أنه في هذا المورد تعبدنا بالأدلة الدالة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على الحكم بالفراغ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بصحة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تعبدنا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فلا ضير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 نحن حكمنا من أجل إثبات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الشرعي،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الشارع أنا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خلاص،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أكتفي بهذا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نحن ما نصير أزيد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ملكيين أزيد من الملك مثل ما يقولون في المثال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العرفي،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الإجابة نمرة واحد.</w:t>
      </w:r>
    </w:p>
    <w:p w:rsidR="004F3DE9" w:rsidRDefault="004F3DE9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والإجابة نمرة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اثنين: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كالتالي،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أصولاً متى يحكم العقل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بلابدية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وضرورة الفراغ اليقين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مرحلة ثبوت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ثبت،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مرية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ولابد من الفراغ منه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شوفوا هنا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الآن،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لما يقول لنا الشارع بدليل معتبر مثل قاعدة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القرعة،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الفراغ،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ترى أنا نزلته منزلة اليقين والتفصيل في إثبات ما يحكم العقل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بلابدية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يكون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ثابتاً،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هنا دور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العقل،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الحقيقة هنا لا موضوع لحكم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lastRenderedPageBreak/>
        <w:t>العقل،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انتفى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الموضوع،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عند التدقيق في المسألة نجد أن الموضوع الذي يحكم العقل على أساسه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بلابدية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الفراغ من التكليف غير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موجود،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باعتبار أن الأدلة دللت على إحراز التكليف.</w:t>
      </w:r>
    </w:p>
    <w:p w:rsidR="004F3DE9" w:rsidRDefault="004F3DE9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سواءً قبلنا الإجابة الأولى أو الإجابة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ضممنا احداهما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الأخرى،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قلنا كل منهما فيها شيء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الضعف،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لما يتعاضد أحد الجوابين مع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الآخر،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وإن كان يقولون مثل ضم الحجر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الإنسان،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بعض،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هذا الاستدلال بهذا النحو من ال...</w:t>
      </w:r>
    </w:p>
    <w:p w:rsidR="004F3DE9" w:rsidRDefault="004F3DE9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لكن أنا ما أرى هذه الطريقة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طبعاً،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 الأدلة في الصحيح إذا ضممت بعضها إلى بعضها الآخر تشوف في نفسك شيء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نعم يعني شيء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الاطمئنان،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غير الذي لا يوجد إلا شيء واحد أو دليل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واحد،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لما تشوف مثلاً ثلاثة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أدلة،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أربعة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أدلة،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خمسة أدلة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المطلب،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غير لما ترى دليلاً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واحداً،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أمر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وجداني،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نحن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سميناه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شم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الفقاهة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الشم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الأصولي،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فيه شيء من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القبيل،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فيعني الصحيح أنه لا مجال للإشكال في هذا المقام.</w:t>
      </w:r>
    </w:p>
    <w:p w:rsidR="004F3DE9" w:rsidRDefault="004F3DE9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.....</w:t>
      </w:r>
    </w:p>
    <w:p w:rsidR="004F3DE9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إيه يقول لك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صحيح العقل حاكم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بكذا،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متى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يحكم؟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حكمه المطلق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المقيد،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فرض ثبوت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بدواً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واستمراراً،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حكمه بدواً واستمراراً....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....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ثبوت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أحسنت،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اشويه دقق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معانا،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لما نقول اشتغال يقيني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بدواً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واستمراراً،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هذا التكليف ثابت بدواً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واستمراراً،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الآن لما نجيء مرحلة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الاستمرار،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هل هو ثابت بعد وجود الدليل الدال  على اكتفاء الشارع بامتثاله الاحتمالي؟ 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....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دليل معتبر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عندنا،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شلون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عندنا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مصادرة؟.</w:t>
      </w:r>
      <w:proofErr w:type="spellEnd"/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....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نحن نقول حكم العقل من أجل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من أجل احراز التكليف لدى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لما يقول الشارع أنا خلاص التكليف هذا ثابت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لدي،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معاي،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واضح،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معناه أنه في الحقيقة إذا شئنا أن نضع النقاط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الحروف،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نقول إن هذه القاعدة ثابتة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بشرط،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شرطها ثبوت التكليف بدواً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واستمراراً،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هنا الاستمرار مشكوك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فالقاعدة غير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تامة،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روح الإجابة الثانية في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المطلب،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الآن قبلناه أو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قبلناه،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بس أنا أشوف الإجابة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حليوه،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لا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بأس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تأمل فيها تشوفها لا بأس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يعني،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هكذا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الأصوليون،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وإن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يعني،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ليس كلامه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هو،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نعم طبعاً يحتاج الواحد يتأمل فيه طبعاً....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بعد ذلك يفصل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تفصيلاً...</w:t>
      </w:r>
    </w:p>
    <w:p w:rsidR="00201DFF" w:rsidRDefault="00201DFF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تطبيق:</w:t>
      </w:r>
    </w:p>
    <w:p w:rsidR="00201DFF" w:rsidRDefault="003762AE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التنبيه الثاني في قاعدة الاشتغال</w:t>
      </w:r>
    </w:p>
    <w:p w:rsidR="003762AE" w:rsidRDefault="003762AE" w:rsidP="004F3DE9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ما تقدم لدينا إنما هو مع الشك في ثبوت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بالحرمة،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للتتن،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نجري البراءة عن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عن حرمته.</w:t>
      </w:r>
    </w:p>
    <w:p w:rsidR="00D94445" w:rsidRDefault="003762AE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أما مع تنجز التكليف بعلم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تفصيلي،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كوجوب صلاة الظهر علينا مثلاً أو صلاة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الصبح،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جلست اليوم أنا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أدري،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صليت الصبح أو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صليت،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لأني البارحة أنا ما نمت طول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الليل،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بعضهم كذا يقول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يدري،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يجلس إذا ما نام طول الليل،يصير الواحد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الثمل السكران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يدري،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أنا فعلاً صليت أو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صليت؟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r w:rsidR="00D94445">
        <w:rPr>
          <w:rFonts w:asciiTheme="majorBidi" w:hAnsiTheme="majorBidi" w:cstheme="majorBidi" w:hint="cs"/>
          <w:sz w:val="48"/>
          <w:szCs w:val="48"/>
          <w:rtl/>
        </w:rPr>
        <w:t>هنا يجب عليه أن يصلي...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أما مع تنجز بعلم تفصيلي أو إجمالي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أيضاً،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سوف يأتينا أن الواحد إذا يعني علم بأن أحد الإناءين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نجس،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علم بأن احدى الصلاتين واجبة وهكذا...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والشك في الفراغ عن التكليف للشك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امتثاله،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ولا خلاف ظاهراً في لزوم الاحتياط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عقلاً،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لابد من احراز الفراغ من امتثال ذلك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المشكوك،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وكذا لو فرض تنجز التكليف بطريق معتبر أو أصل أو غيرهما مما يقتضي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منجزية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في موارد الشك في التكليف قبل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الفحص،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مو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قلنا لابد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الفحص؟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وإلا يبقى منجزاً هذا التكليف...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وهذا المطلب الذي ذكرناه خلاصة لقاعدة عقلية متينة مسلمة لدى الأصوليين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تقول،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اشتهرت،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تصير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كالشمس،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تقول هذه القاعدة أن الاشتغال اليقيني يقتضي الفراغ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ولا يراد بالاشتغال اليقيني إلا ما هو الأعم من اليقين الوجداني وتنجز التكليف بأحد الوجوه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المتقدمة،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دليل معتبر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يعني،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والمراد أيضاً بالفراغ اليقيني احراز التكليف ولو كان بتعبد شرعي لا يوجب العلم القطعي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والوجداني،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يكون ننتبه.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ومن ثم كان التعبد الشرعي بثبوت التكليف أو الامتثال ينقح موضوع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القاعدة،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هذا ثبت لدي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برواية،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صار خلاص عندي اشتغال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ثبت لدي التكليف بأصل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عملي،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صار خلاص عندي اشتغال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كان هذا الثوب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نجساً،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وأنا سافرت لمدة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كم؟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شهر،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رجعت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البيت،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وهو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حاله،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ثم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قلت: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يمكن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بعد،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لعل العائلة طهرت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الملابس،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يجوز أن أصلي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عرفنا؟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بالاستصحاب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يعني،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أستصحب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النجاسة السابقة.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ولا يبعد البناء على أن للشارع الاكتفاء بالامتثال الاحتمالي في موارد تنجز التكليف من دون تعبد بتحقق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الذي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بعضهم قال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أصلاً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تعبد،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يفرق بين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الرواية،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قاعدة الفراغ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الرواية،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الاستصحاب،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الأصل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العملي،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ليس امتثالاً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احتمالياً،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فإذا قبلنا الشق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خلاص ينتفي الإشكال من جذره من أصله...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وأن حكم العقل بلزوم الامتثال اليقيني إنما هو مع عدم اكتفاء الشارع بما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دونه،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بنحو يمتنع الاكتفاء بما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دونه،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الشارع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أنا بعد هذه قاعدة عقلية غير قابلة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للتخصيص،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وحتى لو قال الشارع أنا لا ألتفت إلى قوله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ليس الأمر كذلك...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لأن الدليل على القاعدة هو المرتكزات العقلية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القطعية،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وتختص بما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ذكرت،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بهذا النحو تفهم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القاعدة،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بحيث لو اكتفى الشارع بالامتثال الاحتمالي لما كان هناك تعارض بين مفاد القاعدة وما اكتفى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هكذا يعني في نظر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خذوا أحد الجوابين اللذين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أوردناهما،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بأس....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وهي مختصة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نظير ما ذكرناه آنفاً من أن حكم الشارع بوجوب الاحتياط في مورد الشك يمنع من حكم العقل  بقبح العقاب بلا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بيان،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ألم نقل إنه في بعض الأحايين الشارع يحكم بوجوب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الاحتياط،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في الدماء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تقول القاعدة العقلية قائلة قبح العقاب بلا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بيان،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لماذا هناك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حكمت؟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بعد أنا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حكم،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قاعدة قبح العقاب بلا بيان صحيح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تامة،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الشارع لو قال في هذا المورد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</w:t>
      </w:r>
      <w:r>
        <w:rPr>
          <w:rFonts w:asciiTheme="majorBidi" w:hAnsiTheme="majorBidi" w:cstheme="majorBidi" w:hint="cs"/>
          <w:sz w:val="48"/>
          <w:szCs w:val="48"/>
          <w:rtl/>
        </w:rPr>
        <w:tab/>
        <w:t xml:space="preserve">قولها في الحقيقة يصير قول الشارع بيان وارد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القاعدة،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رافع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لموضوعها،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إما حاكم أو وارد...</w:t>
      </w:r>
    </w:p>
    <w:p w:rsidR="00D94445" w:rsidRDefault="00D94445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وإن لم يكن الحكم المذكور بياناً للتكليف الواقع</w:t>
      </w:r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ي الذي هو موضوع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العقاب،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في الحقيقة هذا الاحتياط الذي قال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الشارع ليس هو حكماً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واقعياً،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حكم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ظاهري،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لكن مع ذلك ما يشكل علينا بأنه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ليش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تقولون أنه قبح العقاب بلا بيان وهنا الشارع ما أورد بياناً وإنما قال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احتاط،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وهذا ليس بياناً في الحكم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الواقعي،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فموضوع الحكم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باقي،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حكم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العقل،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يعني يوم القيامة لو أنا ما احتطت ووقعت في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مشكلة،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وجاءني الملائكة الغلاظ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الشداد،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تقول لهم أنا عقلي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حاكم،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يقولون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شنهو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عقلك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هذا؟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الله يقول لك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احتط،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تقول أنا عقلي </w:t>
      </w:r>
      <w:proofErr w:type="spellStart"/>
      <w:r w:rsidR="008D120F">
        <w:rPr>
          <w:rFonts w:asciiTheme="majorBidi" w:hAnsiTheme="majorBidi" w:cstheme="majorBidi" w:hint="cs"/>
          <w:sz w:val="48"/>
          <w:szCs w:val="48"/>
          <w:rtl/>
        </w:rPr>
        <w:t>حاكم؟</w:t>
      </w:r>
      <w:proofErr w:type="spellEnd"/>
      <w:r w:rsidR="008D120F">
        <w:rPr>
          <w:rFonts w:asciiTheme="majorBidi" w:hAnsiTheme="majorBidi" w:cstheme="majorBidi" w:hint="cs"/>
          <w:sz w:val="48"/>
          <w:szCs w:val="48"/>
          <w:rtl/>
        </w:rPr>
        <w:t xml:space="preserve"> واضحة الفكرة...</w:t>
      </w:r>
    </w:p>
    <w:p w:rsidR="008D120F" w:rsidRDefault="008D120F" w:rsidP="00D9444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وقد يشهد بما ذكرنا أنه حيث لا إشكال في سلطان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الشارع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سلطان،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مطلق السلطنة للشارع على التعبد بالامتثال في موارد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الشارع له السلطنة أن يعبدنا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بالاحتمال،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خلاص أنا اكتفي بهذا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قلنا ما يصير الواحد ملكي أكثر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أنا خلاص أكتفي بهذا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له: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لابد أن أحرز الامتثال الذي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اشتغلت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ذمتي،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وهكذا كثر من قضايا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الواسواسيين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بكذا يرجع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هذا،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له الشارع خلاص أنا أكتفي من عندك بهذا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الظاهري،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له: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أنا لابد أن أعيد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وأزيد،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بما يوقع نفسه في الحرج والعياذ بالله...</w:t>
      </w:r>
    </w:p>
    <w:p w:rsidR="008D120F" w:rsidRDefault="008D120F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فليس الفرق بينه وبين الاكتفاء بالامتثال إلا بمحض الجعل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والاعتبار،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من دون فرق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حقيقة،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الآن الرواية التي الشارع يجعلها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دليلاً،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الرواية حكم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واقعي؟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حكم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ظاهري،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ومع ذلك تعبدنا الشارع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المورد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الاكتفاء بالقرعة أو باليد أو بسوق المسلمين أو ما أشبه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ذلك،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كل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امتثالات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احتمالية لكن الشارع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تعبدنا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اكتفى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حتى لو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تعبدنا،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اكتفى،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قال أنا هذا أكتفي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خلاص،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أتعبدكم بس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يكفيني،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ترى ما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فرق،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النتيجة نفس تعبدنا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اكتفى،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في الروح واحدة...</w:t>
      </w:r>
    </w:p>
    <w:p w:rsidR="008D120F" w:rsidRDefault="008D120F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تقول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يوجد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فرق،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 الرواية جاء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دليل،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(لا عذر لأحد من موالينا في التشكيك فيما يرويه عنا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ثقاتنا،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فإنه حجتي عليكم وأنا حجة الله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)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أما هذا قال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أمضه،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فرق بين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امضه،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وذاك الرواية خذ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يعني إنك إذا ما أمضيته ما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مشكلة،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فتقول أنا أشك أمضيه أو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أمضيه،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لك: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التدقيق الزائد في أن ذاك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جعل،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والجعل معتبر من لدن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وهذا نحو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التسامح،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ليس مطلوب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هذا،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فرق بين الأمرين في الروح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صحيح هنا نقبل أن هناك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جعل،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فيه قوة ومتانة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الروايات،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هنا ما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جعل،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أحد يدعي أنه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جعل،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نقول اكتفاء الشارع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الروح مثل الجعل...</w:t>
      </w:r>
    </w:p>
    <w:p w:rsidR="008D120F" w:rsidRDefault="008D120F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ودعوى أن العقل...</w:t>
      </w:r>
    </w:p>
    <w:p w:rsidR="008D120F" w:rsidRDefault="008D120F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>شوفوا هذا إشكال...</w:t>
      </w:r>
    </w:p>
    <w:p w:rsidR="008D120F" w:rsidRDefault="008D120F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دعوى أن العقل يختص بمقام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قلت نحن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مقامين،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ذاك مقام الجعل مقام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الثبوت،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له دخل العقل في مقام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الثبوت،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دور العقل أين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يأتي؟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مقام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هو مقام الإثبات بالنسبة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للأدلة،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أنا هل عندي دليل يحرز لي امتثال من التكليف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أقول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امضه،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إذا صادم حكم العقل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مشكل،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فألغي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لمصادمته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للعقل،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ألغيه،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: إنما تسلم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بالإضافة إلى أصل وجوب 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ثبوتاً،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بالإضافة إلى مقام الإثبات عند الشك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فكما يكون للشارع التعبد مع الشك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المذكور،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له الاكتفاء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في الروح واحدة مثل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عبرنا،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فرق،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واضح لنا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الفكرة؟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امضه مثل هو حجتي عليكم وأنا حجة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روحاً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واحد</w:t>
      </w:r>
      <w:r w:rsidR="000C2881">
        <w:rPr>
          <w:rFonts w:asciiTheme="majorBidi" w:hAnsiTheme="majorBidi" w:cstheme="majorBidi" w:hint="cs"/>
          <w:sz w:val="48"/>
          <w:szCs w:val="48"/>
          <w:rtl/>
        </w:rPr>
        <w:t>،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 xml:space="preserve"> ما فيه فرق بين </w:t>
      </w:r>
      <w:proofErr w:type="spellStart"/>
      <w:r w:rsidR="000C2881">
        <w:rPr>
          <w:rFonts w:asciiTheme="majorBidi" w:hAnsiTheme="majorBidi" w:cstheme="majorBidi" w:hint="cs"/>
          <w:sz w:val="48"/>
          <w:szCs w:val="48"/>
          <w:rtl/>
        </w:rPr>
        <w:t>الأمرين،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 xml:space="preserve"> عاد قبلت كذا أو ما </w:t>
      </w:r>
      <w:proofErr w:type="spellStart"/>
      <w:r w:rsidR="000C2881">
        <w:rPr>
          <w:rFonts w:asciiTheme="majorBidi" w:hAnsiTheme="majorBidi" w:cstheme="majorBidi" w:hint="cs"/>
          <w:sz w:val="48"/>
          <w:szCs w:val="48"/>
          <w:rtl/>
        </w:rPr>
        <w:t>قبلت،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 xml:space="preserve"> تقول </w:t>
      </w:r>
      <w:proofErr w:type="spellStart"/>
      <w:r w:rsidR="000C2881"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 xml:space="preserve"> والله أنا أرى وجود فارق بين </w:t>
      </w:r>
      <w:proofErr w:type="spellStart"/>
      <w:r w:rsidR="000C2881">
        <w:rPr>
          <w:rFonts w:asciiTheme="majorBidi" w:hAnsiTheme="majorBidi" w:cstheme="majorBidi" w:hint="cs"/>
          <w:sz w:val="48"/>
          <w:szCs w:val="48"/>
          <w:rtl/>
        </w:rPr>
        <w:t>الأمرين،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 xml:space="preserve"> على كل هكذا يرى </w:t>
      </w:r>
      <w:proofErr w:type="spellStart"/>
      <w:r w:rsidR="000C2881"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 w:rsidR="000C2881">
        <w:rPr>
          <w:rFonts w:asciiTheme="majorBidi" w:hAnsiTheme="majorBidi" w:cstheme="majorBidi" w:hint="cs"/>
          <w:sz w:val="48"/>
          <w:szCs w:val="48"/>
          <w:rtl/>
        </w:rPr>
        <w:t>....</w:t>
      </w:r>
    </w:p>
    <w:p w:rsidR="000C2881" w:rsidRDefault="000C2881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وبالجملة،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نلخص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المطلب،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ما يحتاج نزيد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ونعيد،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حتى لا يشك شاك...</w:t>
      </w:r>
    </w:p>
    <w:p w:rsidR="000C2881" w:rsidRDefault="000C2881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لا ملزم يمنع اكتفاء الشارع بالامتثال الاحتمالي بنحو يتعين رد ظواهر الأدلة لو وردت بهذا الامتثال الاحتمالي أو تأويل الأدلة بأن امض مثل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جعلت،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يحتاج،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تبقى على حالها بظواهر الأدلة ونقول الشارع اكتفى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ومن هنا فلا ضرورة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للإلتزام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بأن القواعد الشرعية التي هي المرجع في مقام الامتثال كقاعدة الفراغ والقرعة وسوق المسلمين من الطرق والأصول المتضمنة للتعبد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شرعاً،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بل لا مانع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الإلتزام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برجوع أدلتها إلى الاكتفاء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ما يحتاج نقول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هي مثل جعلتُ...</w:t>
      </w:r>
    </w:p>
    <w:p w:rsidR="000C2881" w:rsidRDefault="000C2881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إلا أن يفرض ظهور أدلتها في التعبد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المذكور،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أصلاً هناك دلالة ظاهرة للأدلة الدالة على سوق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المسلمين،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للأدلة الدالة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القرعة،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لأنها لكل أمر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مشكل،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تعبدك الشارع بهذا المورد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بالقرعة،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ذاك تعبدك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ترى ما في سوق المسلمين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طاهراً،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وهكذا....</w:t>
      </w:r>
    </w:p>
    <w:p w:rsidR="000C2881" w:rsidRDefault="000C2881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طبعاً هذا بعد أيضاً يحتاج أنه تعبدنا أو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تعبدنا،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يحتاج إلى أدلة قوية مثل الأدلة الدالة على حجية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الروايات،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نحن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إشقد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ظلينا نناقش هناك في الأدلة أنها دالة على التعبد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ظاهر الدليل هو أقوى دليل هو السيرة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العقلائية،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هنا قد يقال أصلاً سيرة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عقلائية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الشارع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اكتفى،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فيقول أفضل شيء أن نقول إنه يكتفي بالامتثال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بعد يقول أنا الشارع ما أريد أزيد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منكم،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أريد أن أشق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عليكم،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أكتفي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وخوش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كلام الذي قاله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الإنسان كيف يعرف أنه إنسان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جيد،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يأتي بالأشياء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طريق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أنا أمشي في جادة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الشريعة،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ينسب هذا التكليف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الشارع،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النسبة إلى الشارع تجعله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خوش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آدمي،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يكتفى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أكثر من كذا ما فيه.</w:t>
      </w:r>
    </w:p>
    <w:p w:rsidR="000C2881" w:rsidRDefault="00410C6B" w:rsidP="008D120F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ثم إن الشك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الذي قلنا يريد يفصل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>...</w:t>
      </w:r>
      <w:r>
        <w:rPr>
          <w:rFonts w:asciiTheme="majorBidi" w:hAnsiTheme="majorBidi" w:cstheme="majorBidi" w:hint="cs"/>
          <w:sz w:val="48"/>
          <w:szCs w:val="48"/>
          <w:rtl/>
        </w:rPr>
        <w:br/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طبعاً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يفصل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يقسمه إلى ثلاثة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أقسام،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وهي أقسام ظاهرة ومارة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علينا،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متكررة لدينا هذه الأقسام الثلاثة...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أن الشك في الامتثال تارة يكون مع وضوح ذلك المشكوك فيه من حيث المفهوم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والمصداق،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إذا قلنا صلاة الظهر أو صلاة الصبح وصلاة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المغرب،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إحدى الصلوات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الخمس،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صوم يوم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منذور،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واضح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هذا،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صوم يوم منذور لكن يحتاج إضافة تتمة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وإكمالة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يعبر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العراقيون،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أقول فإن لم أصمه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قضيته،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لأنه بعد إذا نُذر وخصص بيوم محدد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استحال،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لايقضى،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إذا أضفت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التتمة،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تالي أنا شكك إني أنا فعلاً صمته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هنا يأتي دور ال.....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المهم مع وضوح المفهوم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والمصداق،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الصلاة واضحة مفهوماً ومصداقاً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واضحة،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هذه الأربع الركعات التي يأتي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المكلف...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وأخرى يكون لتردد التكليف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بنحو الشبهة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الحكمية،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صلاة الظهر أو الجمعة في يوم الجمعة هي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الواجبة،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شبهة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موضوعية،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أدري هذا الإناء نجس أو ذلك الإناء؟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lastRenderedPageBreak/>
        <w:t>طيب،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وثالثة: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نحوان،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النحو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الثالث،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أشك لامتثال التكليف باعتبار وجود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شك،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أن هذا التكليف لابد أن يقترن بخصوصية زائدة على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كأن يكون هذا التكليف مشروطاً مثلاً بتكرار السورة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مرتين،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الصلاة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بشرط أن ينضم لهذه الصلاة الدعاء الفلاني أو الاستغفار كما يعبر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واضح،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المورد الأول إذا كان عندنا تكليف منجز عندنا بعلم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تفصيلي،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الصلاة وجبت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عليّ،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ونحن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ندري،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لكوننا لم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ننم،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ما ندري صلينا أو ما صلينا....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هنا يجب علينا أن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نصلي،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وهذا أظهر كما يقول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الماتن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موارد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ومصاديق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قاعدة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الاشتغال،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طيب والثاني الذي يدور الأمر فيه بين شبهة حكمية أو شبهة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موضوعية؟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يقول: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هذا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نرجئه،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لأنه راح يأتينا بنحو تفصيلي في مبحث العلم الإجمالي.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الثالث،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وهو ما اعتبر وجود خصوصية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يقول الخصوصية هذه التي نشك في اعتبارها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لابد أن ينظر إليها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ناحيتين،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الناحية الأولى يرجع إلى اعتبار الخصوصية في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ما معنى يرجع إلى اعتبار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الخصوصية؟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مثل 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قلنا،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إن القراءة هذه مشروطة بتكرار السورة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مرتين،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وأخرى يرجع إلى احتمال اعتبار الخصوصية في تحقق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lastRenderedPageBreak/>
        <w:t>خارج،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من دون أن يكون معتبراً في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بنفسه وإنما في جزء من أجزائه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الأمرين هل تجري البراءة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الاشتغال؟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للعلماء هنا شيء من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التفصيل،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هل المجرى في المقام البراءة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الاشتغال؟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نطبق الشق الأول ونشوف ماذا يصير هنا؟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ثم إن الشك في الامتثال تارة يكون للشك في تحقق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مع وضوحه مفهوماً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ومصداقاً،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كما لو شككنا في أنه هل صلينا صلاة الصبح أو صلاة الظهر أو صلاة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المغرب،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وأخرى يكون للشك في انطباق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على بعض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الأمور،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لتردده بين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متباينين،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كتردد التكليف الذي أمرنا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بين الظهر والجمعة في يوم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الجمعة،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شبهة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موضوعية،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النجس ما ندري هذا الإناء أو الإناء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هذا الثوب أو ذلك الثوب.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وثالثاً لاحتمال توقف تحققه على خصوصية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زائدة،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بحيث إن التكليف لا يتحقق دونه وجود هذه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الخصوصية،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كتكرار سورة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مثلاً،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أما الأول فهو أظهر موارد قاعدة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الاشتغال،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الصلاة التي شككنا في أننا أتينا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وأما الثاني فما كان التردد فيه بين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المتباينين،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يبتني الكلام فيه  على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منجزية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العلم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الإجمالي،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وسيأتينا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بشيء من التفصيل والبيان.</w:t>
      </w:r>
    </w:p>
    <w:p w:rsidR="00410C6B" w:rsidRDefault="00410C6B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وأما الثالث فهو اعتبار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خصوصية،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فالخصوصية تارة ترجع إلى احتمال اعتبار الخصوصية في المكلف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بحسب أصل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كاحتمال اعتبار الاستغفار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الصلاة،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يعني الله أمرنا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بالصلاة،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بالصلاة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مشروطة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بالاستغفار،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بحيث بعد أن نصلي دون استغفار نشك في امتثال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التكليف،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نحن نعلم يقيناً بأننا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كلفنا،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لكن بعد الفراغ عن التكليف صلينا لكن من دون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استغفار،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شككنا أن هذا التكليف مشروط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بالاستغفار،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يصير شك في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في الحقيقة يرجع بنحو ما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تصورين،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أحدهما يقول إن هذا يرجع إلى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إلى وجود جزء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زائد،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الذي قلنا تجري عنه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البراءة،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والثاني يقول شك في تحقق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الامتثال،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لأنه أصلاً الصلاة التي أتينا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بها،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هل أسقطت التكليف</w:t>
      </w:r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الذي في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ذمته،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إذا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شككنا،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التكليف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محرز،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ماذا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يصير؟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باقي على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حاله،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فيجب أن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نحتاط،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وأخرى أيضاً يرجع إلى احتمال اعتبار خصوصية في تحقق المكلف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خارجاً،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من دون أن تكون معتبرة في المكلف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به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</w:t>
      </w:r>
      <w:proofErr w:type="spellStart"/>
      <w:r w:rsidR="00B30410">
        <w:rPr>
          <w:rFonts w:asciiTheme="majorBidi" w:hAnsiTheme="majorBidi" w:cstheme="majorBidi" w:hint="cs"/>
          <w:sz w:val="48"/>
          <w:szCs w:val="48"/>
          <w:rtl/>
        </w:rPr>
        <w:t>بنفسه،</w:t>
      </w:r>
      <w:proofErr w:type="spellEnd"/>
      <w:r w:rsidR="00B30410">
        <w:rPr>
          <w:rFonts w:asciiTheme="majorBidi" w:hAnsiTheme="majorBidi" w:cstheme="majorBidi" w:hint="cs"/>
          <w:sz w:val="48"/>
          <w:szCs w:val="48"/>
          <w:rtl/>
        </w:rPr>
        <w:t xml:space="preserve"> هذا لا إشكال في جريان البراءة.</w:t>
      </w:r>
    </w:p>
    <w:p w:rsidR="00B30410" w:rsidRDefault="00B30410" w:rsidP="00410C6B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أما الأول فالتحقيق الرجوع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للبراءة،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الفرض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الأول،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لا إشكال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يرجع الشك فيه إلى الشك في التكليف بالخصوصية على يأتي الكلام فيه في الفصل الرابع إن شاء الله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تعالى،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وأما الثاني فاللازم الرجوع فيه لقاعدة </w:t>
      </w:r>
      <w:r>
        <w:rPr>
          <w:rFonts w:asciiTheme="majorBidi" w:hAnsiTheme="majorBidi" w:cstheme="majorBidi" w:hint="cs"/>
          <w:sz w:val="48"/>
          <w:szCs w:val="48"/>
          <w:rtl/>
        </w:rPr>
        <w:lastRenderedPageBreak/>
        <w:t xml:space="preserve">الاشتغال أو البراءة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أيضاً،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حتى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الأول قيل فيه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الاحتمالان،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والثاني أيضاً كما سوف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يأتينا،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كلا الاحتمالين موجود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فاللازم الرجوع فيه لقاعدة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الاشتغال،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لأن المفروض تنجز التكليف وعدم الإجمال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فيه،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وليس الشك إلا بامتثاله الذي عرفت عدم الإشكال بينهم في لزوم الفراغ اليقيني والقطع بامتثاله.</w:t>
      </w:r>
    </w:p>
    <w:p w:rsidR="00B30410" w:rsidRDefault="00B30410" w:rsidP="00B30410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وربما يقع الإشكال في تشخيص بعض الصغريات ترجع إلى القسم الأول الذي يجري عنه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ماذا؟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البراءة أو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الثاني؟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وهناك موردان محل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كلام،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يأتينا عليهما </w:t>
      </w:r>
      <w:proofErr w:type="spellStart"/>
      <w:r>
        <w:rPr>
          <w:rFonts w:asciiTheme="majorBidi" w:hAnsiTheme="majorBidi" w:cstheme="majorBidi" w:hint="cs"/>
          <w:sz w:val="48"/>
          <w:szCs w:val="48"/>
          <w:rtl/>
        </w:rPr>
        <w:t>الكلام،</w:t>
      </w:r>
      <w:proofErr w:type="spellEnd"/>
      <w:r>
        <w:rPr>
          <w:rFonts w:asciiTheme="majorBidi" w:hAnsiTheme="majorBidi" w:cstheme="majorBidi" w:hint="cs"/>
          <w:sz w:val="48"/>
          <w:szCs w:val="48"/>
          <w:rtl/>
        </w:rPr>
        <w:t xml:space="preserve"> أو يأتي البحث فيهما.</w:t>
      </w:r>
    </w:p>
    <w:p w:rsidR="00B30410" w:rsidRDefault="00B30410" w:rsidP="00B30410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  <w:r>
        <w:rPr>
          <w:rFonts w:asciiTheme="majorBidi" w:hAnsiTheme="majorBidi" w:cstheme="majorBidi" w:hint="cs"/>
          <w:sz w:val="48"/>
          <w:szCs w:val="48"/>
          <w:rtl/>
        </w:rPr>
        <w:t xml:space="preserve">وصلى الله وسلم وزاد وبارك على سيدنا ونبينا محمد وآله أجمعين الطيبين الطاهرين. </w:t>
      </w: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</w:p>
    <w:p w:rsidR="000739D5" w:rsidRDefault="000739D5" w:rsidP="000739D5">
      <w:pPr>
        <w:jc w:val="both"/>
        <w:rPr>
          <w:rFonts w:asciiTheme="majorBidi" w:hAnsiTheme="majorBidi" w:cstheme="majorBidi" w:hint="cs"/>
          <w:sz w:val="48"/>
          <w:szCs w:val="48"/>
          <w:rtl/>
        </w:rPr>
      </w:pPr>
    </w:p>
    <w:p w:rsidR="000739D5" w:rsidRPr="000739D5" w:rsidRDefault="000739D5" w:rsidP="000739D5">
      <w:pPr>
        <w:jc w:val="both"/>
        <w:rPr>
          <w:rFonts w:asciiTheme="majorBidi" w:hAnsiTheme="majorBidi" w:cstheme="majorBidi"/>
          <w:sz w:val="48"/>
          <w:szCs w:val="48"/>
        </w:rPr>
      </w:pPr>
    </w:p>
    <w:sectPr w:rsidR="000739D5" w:rsidRPr="000739D5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/>
  <w:defaultTabStop w:val="720"/>
  <w:characterSpacingControl w:val="doNotCompress"/>
  <w:compat/>
  <w:rsids>
    <w:rsidRoot w:val="003833A6"/>
    <w:rsid w:val="000739D5"/>
    <w:rsid w:val="000C2881"/>
    <w:rsid w:val="00201DFF"/>
    <w:rsid w:val="003762AE"/>
    <w:rsid w:val="003833A6"/>
    <w:rsid w:val="00410C6B"/>
    <w:rsid w:val="004F3DE9"/>
    <w:rsid w:val="008D120F"/>
    <w:rsid w:val="00B30410"/>
    <w:rsid w:val="00BB0CA2"/>
    <w:rsid w:val="00C066AC"/>
    <w:rsid w:val="00D94445"/>
    <w:rsid w:val="00F4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6</cp:revision>
  <dcterms:created xsi:type="dcterms:W3CDTF">2014-05-31T17:45:00Z</dcterms:created>
  <dcterms:modified xsi:type="dcterms:W3CDTF">2014-05-31T19:56:00Z</dcterms:modified>
</cp:coreProperties>
</file>